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GTL INFOFLASH</w:t>
      </w:r>
    </w:p>
    <w:p>
      <w:pPr>
        <w:pStyle w:val="Heading2"/>
      </w:pPr>
      <w:r>
        <w:t>Publieke laadpalen voor elektrische taxi’s in Vlaanderen</w:t>
      </w:r>
    </w:p>
    <w:p>
      <w:r>
        <w:t>De Vlaamse overheid heeft een nieuwe concessie opgestart voor de plaatsing van publieke laadpalen op het openbaar domein. Dit kan ook relevant zijn voor taxi-ondernemingen en zelfstandige taxichauffeurs die met volledig elektrische voertuigen rijden en geen eigen laadmogelijkheden hebben.</w:t>
      </w:r>
    </w:p>
    <w:p>
      <w:r>
        <w:t>Deze mogelijkheid is niet alleen relevant voor standplaatstaxi’s, maar kan ook nuttig zijn voor exploitanten die rijden via platformen zoals Uber of Bolt, voor luchthavenvervoer, contractvervoer, mutualiteitsvervoer en andere vormen van individueel bezoldigd personenvervoer.</w:t>
      </w:r>
    </w:p>
    <w:p>
      <w:r>
        <w:t>Vooraleer een aanvraag in te dienen, is het aangewezen eerst na te gaan of er al (semi-)publieke laadpunten in de buurt beschikbaar zijn via de Vlaamse kaart:</w:t>
      </w:r>
    </w:p>
    <w:p>
      <w:r>
        <w:t>https://mow.vlaanderen.be/laadpalen</w:t>
      </w:r>
    </w:p>
    <w:p>
      <w:r>
        <w:t>Meer informatie over de voorwaarden en de aanvraagprocedure via het systeem ‘Paal volgt Wagen’ vindt u hier:</w:t>
      </w:r>
    </w:p>
    <w:p>
      <w:r>
        <w:t>https://www.vlaanderen.be/milieuvriendelijke-voertuigen/publieke-laadpaal-aanvragen</w:t>
      </w:r>
    </w:p>
    <w:p>
      <w:r>
        <w:t>Voor een praktisch overzicht van de aanvraag verwijst GTL tevens naar de aparte praktische gids met het schema ‘Stap 1 – Stap 2 – Stap 3’.</w:t>
      </w:r>
    </w:p>
    <w:p>
      <w:r>
        <w:t>Met vriendelijke groet,</w:t>
        <w:br/>
        <w:br/>
        <w:t>Pierre Steenberghen</w:t>
        <w:br/>
        <w:t>Secretaris-generaal – GTL</w:t>
        <w:br/>
        <w:t>Groupement National des Entreprises de Taxis et de LVC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